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9F6711">
        <w:rPr>
          <w:sz w:val="24"/>
          <w:szCs w:val="24"/>
        </w:rPr>
        <w:t>117 - 15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11" w:rsidRDefault="004C093A" w:rsidP="009F6711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9F6711">
        <w:rPr>
          <w:sz w:val="24"/>
          <w:szCs w:val="24"/>
        </w:rPr>
        <w:tab/>
        <w:t>Oddgeir Tørset</w:t>
      </w:r>
    </w:p>
    <w:p w:rsidR="00B30221" w:rsidRDefault="00B3022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AD701A">
        <w:rPr>
          <w:sz w:val="24"/>
          <w:szCs w:val="24"/>
        </w:rPr>
        <w:t>20</w:t>
      </w:r>
      <w:r w:rsidR="006F68CE">
        <w:rPr>
          <w:sz w:val="24"/>
          <w:szCs w:val="24"/>
        </w:rPr>
        <w:t>.0</w:t>
      </w:r>
      <w:r w:rsidR="006629EC">
        <w:rPr>
          <w:sz w:val="24"/>
          <w:szCs w:val="24"/>
        </w:rPr>
        <w:t>8</w:t>
      </w:r>
      <w:r w:rsidR="006F68CE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425C04" w:rsidRDefault="006629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Internhusleie  - prinsipper og gjennomføring</w:t>
      </w:r>
    </w:p>
    <w:p w:rsidR="00720FD8" w:rsidRDefault="00720FD8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725029" w:rsidRDefault="00725029" w:rsidP="006629EC">
      <w:pPr>
        <w:rPr>
          <w:sz w:val="23"/>
          <w:szCs w:val="23"/>
        </w:rPr>
      </w:pPr>
      <w:r>
        <w:rPr>
          <w:sz w:val="23"/>
          <w:szCs w:val="23"/>
        </w:rPr>
        <w:t>Sak om innføring av internhusleie ble behandlet av bystyret i sak 169/14.</w:t>
      </w:r>
    </w:p>
    <w:p w:rsidR="00725029" w:rsidRPr="00725029" w:rsidRDefault="00725029" w:rsidP="006629EC">
      <w:pPr>
        <w:rPr>
          <w:sz w:val="23"/>
          <w:szCs w:val="23"/>
        </w:rPr>
      </w:pPr>
      <w:r>
        <w:rPr>
          <w:sz w:val="23"/>
          <w:szCs w:val="23"/>
        </w:rPr>
        <w:t>I denne saken legges det frem forslag om prinsipper og praktisk gjennomføring av internhusleie.</w:t>
      </w:r>
    </w:p>
    <w:p w:rsidR="00720FD8" w:rsidRP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725029" w:rsidRPr="00725029" w:rsidRDefault="00725029" w:rsidP="00725029">
      <w:pPr>
        <w:rPr>
          <w:sz w:val="23"/>
          <w:szCs w:val="23"/>
        </w:rPr>
      </w:pPr>
      <w:r>
        <w:rPr>
          <w:sz w:val="23"/>
          <w:szCs w:val="23"/>
        </w:rPr>
        <w:t>Bystyret vedtok i sak 169/14:</w:t>
      </w:r>
    </w:p>
    <w:p w:rsidR="00725029" w:rsidRPr="00725029" w:rsidRDefault="00725029" w:rsidP="0072502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  <w:r w:rsidRPr="00725029">
        <w:rPr>
          <w:rFonts w:ascii="Calibri" w:hAnsi="Calibri" w:cs="Verdana"/>
          <w:color w:val="000000"/>
        </w:rPr>
        <w:t xml:space="preserve">For bygninger som er ferdigstilt før 1. jan 2015 foreslås det at kostnadene basert på dagens ordning videreføres og omgjøres til en internleie. </w:t>
      </w:r>
      <w:r w:rsidRPr="00725029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:rsidR="00725029" w:rsidRPr="00725029" w:rsidRDefault="00725029" w:rsidP="0072502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  <w:r w:rsidRPr="00725029">
        <w:rPr>
          <w:rFonts w:ascii="Calibri" w:hAnsi="Calibri" w:cs="Verdana"/>
          <w:color w:val="000000"/>
        </w:rPr>
        <w:t xml:space="preserve">For bygninger som ferdigstilles etter 1. jan. 2015 foreslås det at internleie innføres etter «Sandnes modellen» slik den framkommer av saken. </w:t>
      </w:r>
      <w:r w:rsidRPr="00725029">
        <w:rPr>
          <w:rFonts w:ascii="Calibri" w:hAnsi="Calibri" w:cs="Verdana"/>
          <w:color w:val="000000"/>
          <w:sz w:val="24"/>
          <w:szCs w:val="24"/>
        </w:rPr>
        <w:t xml:space="preserve"> </w:t>
      </w:r>
    </w:p>
    <w:p w:rsidR="00725029" w:rsidRDefault="00725029" w:rsidP="00725029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  <w:r w:rsidRPr="00725029">
        <w:rPr>
          <w:rFonts w:ascii="Calibri" w:hAnsi="Calibri" w:cs="Verdana"/>
          <w:color w:val="000000"/>
        </w:rPr>
        <w:t xml:space="preserve">Internleiene justeres i henhold til konsumprisindeksen hvert år. </w:t>
      </w:r>
    </w:p>
    <w:p w:rsidR="00725029" w:rsidRDefault="00725029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725029" w:rsidRDefault="007C7289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Det er utarbeidet modeller for beregning av husleie for eksisterende bygg ferdigstilt før 1. jan 2015 og for nye bygg som er ferdigstilt etter dette tidspunktet.</w:t>
      </w:r>
    </w:p>
    <w:p w:rsidR="008F5E26" w:rsidRDefault="008F5E26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8F5E26" w:rsidRDefault="001456F2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B</w:t>
      </w:r>
      <w:r w:rsidR="008F5E26">
        <w:rPr>
          <w:rFonts w:ascii="Calibri" w:hAnsi="Calibri" w:cs="Verdana"/>
          <w:color w:val="000000"/>
        </w:rPr>
        <w:t xml:space="preserve">eregning av internhusleie for eksisterende bygg </w:t>
      </w:r>
      <w:r>
        <w:rPr>
          <w:rFonts w:ascii="Calibri" w:hAnsi="Calibri" w:cs="Verdana"/>
          <w:color w:val="000000"/>
        </w:rPr>
        <w:t xml:space="preserve">er p.t. ikke ferdig og vil først bli lagt </w:t>
      </w:r>
      <w:r w:rsidR="008F5E26">
        <w:rPr>
          <w:rFonts w:ascii="Calibri" w:hAnsi="Calibri" w:cs="Verdana"/>
          <w:color w:val="000000"/>
        </w:rPr>
        <w:t xml:space="preserve">frem i forbindelse med 2. perioderapport til bystyret. </w:t>
      </w:r>
      <w:r>
        <w:rPr>
          <w:rFonts w:ascii="Calibri" w:hAnsi="Calibri" w:cs="Verdana"/>
          <w:color w:val="000000"/>
        </w:rPr>
        <w:t xml:space="preserve">Det har i arbeidet med de konkrete beregningene vist seg å være behov for opprydding, spesielt mht. bokført verdi pr. bygg og rett areal pr. bygg. I saken </w:t>
      </w:r>
      <w:r w:rsidR="008F5E26">
        <w:rPr>
          <w:rFonts w:ascii="Calibri" w:hAnsi="Calibri" w:cs="Verdana"/>
          <w:color w:val="000000"/>
        </w:rPr>
        <w:t>vil oversikt over husleie pr bygg fremkomme. Det samme gjelder nye bygg som ferdigstilles i 2015.</w:t>
      </w:r>
    </w:p>
    <w:p w:rsidR="008F5E26" w:rsidRDefault="008F5E26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8F5E26" w:rsidRDefault="008F5E26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Beregning av husleie av nye bygg med ferdigstillelse etter 2015 vil fremkomme gjennom økonomiplanbehandlingen ØP 2016 – 2019.</w:t>
      </w:r>
    </w:p>
    <w:p w:rsidR="00AD701A" w:rsidRDefault="00AD701A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AD701A" w:rsidRDefault="00AD701A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AD701A" w:rsidRDefault="00AD701A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7C7289" w:rsidRPr="00725029" w:rsidRDefault="007C7289" w:rsidP="00725029">
      <w:pPr>
        <w:autoSpaceDE w:val="0"/>
        <w:autoSpaceDN w:val="0"/>
        <w:adjustRightInd w:val="0"/>
        <w:spacing w:after="0" w:line="240" w:lineRule="auto"/>
        <w:rPr>
          <w:rFonts w:ascii="Calibri" w:hAnsi="Calibri" w:cs="Verdana"/>
          <w:color w:val="000000"/>
        </w:rPr>
      </w:pPr>
    </w:p>
    <w:p w:rsidR="00720FD8" w:rsidRPr="00F827DD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lastRenderedPageBreak/>
        <w:t>Vurderinger:</w:t>
      </w:r>
    </w:p>
    <w:p w:rsidR="00AD701A" w:rsidRPr="00AD701A" w:rsidRDefault="00AD701A" w:rsidP="00AD701A">
      <w:pPr>
        <w:pStyle w:val="Listeavsnitt"/>
        <w:numPr>
          <w:ilvl w:val="0"/>
          <w:numId w:val="5"/>
        </w:numPr>
        <w:rPr>
          <w:sz w:val="23"/>
          <w:szCs w:val="23"/>
        </w:rPr>
      </w:pPr>
      <w:r w:rsidRPr="00AD701A">
        <w:rPr>
          <w:b/>
          <w:sz w:val="23"/>
          <w:szCs w:val="23"/>
          <w:u w:val="single"/>
        </w:rPr>
        <w:t>Generelt</w:t>
      </w:r>
      <w:r>
        <w:rPr>
          <w:sz w:val="23"/>
          <w:szCs w:val="23"/>
        </w:rPr>
        <w:t>:</w:t>
      </w:r>
    </w:p>
    <w:p w:rsidR="007C7289" w:rsidRDefault="00F827DD" w:rsidP="00B30221">
      <w:pPr>
        <w:rPr>
          <w:sz w:val="23"/>
          <w:szCs w:val="23"/>
        </w:rPr>
      </w:pPr>
      <w:r>
        <w:rPr>
          <w:sz w:val="23"/>
          <w:szCs w:val="23"/>
        </w:rPr>
        <w:t>Husleien består av to elementer: kapitaldel og FDV – del. I tillegg er det for hvert bygg/bygg kategori beregnet fellesutgifter (renhold, driftsoperatør, uteanlegg, energi).</w:t>
      </w:r>
    </w:p>
    <w:p w:rsidR="008C17CC" w:rsidRDefault="00F827DD" w:rsidP="00B30221">
      <w:pPr>
        <w:rPr>
          <w:sz w:val="23"/>
          <w:szCs w:val="23"/>
        </w:rPr>
      </w:pPr>
      <w:r>
        <w:rPr>
          <w:sz w:val="23"/>
          <w:szCs w:val="23"/>
        </w:rPr>
        <w:t xml:space="preserve">Kapitaldelen </w:t>
      </w:r>
      <w:r w:rsidR="00AD701A">
        <w:rPr>
          <w:sz w:val="23"/>
          <w:szCs w:val="23"/>
        </w:rPr>
        <w:t>er vedtatt</w:t>
      </w:r>
      <w:r>
        <w:rPr>
          <w:sz w:val="23"/>
          <w:szCs w:val="23"/>
        </w:rPr>
        <w:t xml:space="preserve"> </w:t>
      </w:r>
      <w:r w:rsidR="008C17CC">
        <w:rPr>
          <w:sz w:val="23"/>
          <w:szCs w:val="23"/>
        </w:rPr>
        <w:t>med 2,5 % rente og 2,5 % avdrag</w:t>
      </w:r>
      <w:r>
        <w:rPr>
          <w:sz w:val="23"/>
          <w:szCs w:val="23"/>
        </w:rPr>
        <w:t xml:space="preserve">. </w:t>
      </w:r>
      <w:r w:rsidR="0081317A">
        <w:rPr>
          <w:sz w:val="23"/>
          <w:szCs w:val="23"/>
        </w:rPr>
        <w:t>Beregningsgrunnlaget i år 1 tilsvarer lånebeløpet på bygget.</w:t>
      </w:r>
    </w:p>
    <w:p w:rsidR="00F827DD" w:rsidRDefault="00F827DD" w:rsidP="00B30221">
      <w:pPr>
        <w:rPr>
          <w:sz w:val="23"/>
          <w:szCs w:val="23"/>
        </w:rPr>
      </w:pPr>
      <w:r>
        <w:rPr>
          <w:sz w:val="23"/>
          <w:szCs w:val="23"/>
        </w:rPr>
        <w:t>FDV – de</w:t>
      </w:r>
      <w:r w:rsidR="008C17CC">
        <w:rPr>
          <w:sz w:val="23"/>
          <w:szCs w:val="23"/>
        </w:rPr>
        <w:t>le</w:t>
      </w:r>
      <w:r>
        <w:rPr>
          <w:sz w:val="23"/>
          <w:szCs w:val="23"/>
        </w:rPr>
        <w:t xml:space="preserve">n for nye bygg er satt til 310 kr pr kvm. Dette innbefatter slik det ble lagt frem for bystyret </w:t>
      </w:r>
      <w:r w:rsidR="008C17CC">
        <w:rPr>
          <w:sz w:val="23"/>
          <w:szCs w:val="23"/>
        </w:rPr>
        <w:t xml:space="preserve">også kostnader til driftsoperatørtjenester (jfr sammenligning i </w:t>
      </w:r>
      <w:r w:rsidR="00AD701A">
        <w:rPr>
          <w:sz w:val="23"/>
          <w:szCs w:val="23"/>
        </w:rPr>
        <w:t>Bsak 169/14</w:t>
      </w:r>
      <w:r w:rsidR="008C17CC">
        <w:rPr>
          <w:sz w:val="23"/>
          <w:szCs w:val="23"/>
        </w:rPr>
        <w:t xml:space="preserve"> med DKI – beløp). FDV – delen ble i saken beregnet til 165 kr pr kvm. Beregning av dette beløpet er eks. driftsoperatørtjenester (ca kr 26 pr kvm). Tallene er således ikke helt sammenlignbare. </w:t>
      </w:r>
    </w:p>
    <w:p w:rsidR="00550874" w:rsidRDefault="00550874" w:rsidP="00B30221">
      <w:pPr>
        <w:rPr>
          <w:sz w:val="23"/>
          <w:szCs w:val="23"/>
        </w:rPr>
      </w:pPr>
      <w:r>
        <w:rPr>
          <w:sz w:val="23"/>
          <w:szCs w:val="23"/>
        </w:rPr>
        <w:t>KPI – justering av husleien foretas i 1. perioderapport</w:t>
      </w:r>
      <w:r w:rsidR="00AD701A">
        <w:rPr>
          <w:sz w:val="23"/>
          <w:szCs w:val="23"/>
        </w:rPr>
        <w:t xml:space="preserve"> hvert år</w:t>
      </w:r>
      <w:r>
        <w:rPr>
          <w:sz w:val="23"/>
          <w:szCs w:val="23"/>
        </w:rPr>
        <w:t>. Sist kjente KPI benyttes.</w:t>
      </w:r>
    </w:p>
    <w:p w:rsidR="009F6711" w:rsidRPr="009F6711" w:rsidRDefault="009F6711" w:rsidP="009F6711">
      <w:pPr>
        <w:rPr>
          <w:sz w:val="23"/>
          <w:szCs w:val="23"/>
        </w:rPr>
      </w:pPr>
      <w:r>
        <w:rPr>
          <w:sz w:val="23"/>
          <w:szCs w:val="23"/>
        </w:rPr>
        <w:t xml:space="preserve">KPI – justering av husleien foretas i 1. perioderapport. </w:t>
      </w:r>
      <w:r w:rsidRPr="009F6711">
        <w:rPr>
          <w:sz w:val="23"/>
          <w:szCs w:val="23"/>
        </w:rPr>
        <w:t>Totalindeks, 12-måneders endring, benyttes.</w:t>
      </w:r>
    </w:p>
    <w:p w:rsidR="009F6711" w:rsidRDefault="009F6711" w:rsidP="00B30221">
      <w:pPr>
        <w:rPr>
          <w:sz w:val="23"/>
          <w:szCs w:val="23"/>
        </w:rPr>
      </w:pPr>
    </w:p>
    <w:p w:rsidR="00F827DD" w:rsidRPr="00AD701A" w:rsidRDefault="00F827DD" w:rsidP="00AD701A">
      <w:pPr>
        <w:pStyle w:val="Listeavsnitt"/>
        <w:numPr>
          <w:ilvl w:val="0"/>
          <w:numId w:val="5"/>
        </w:numPr>
        <w:rPr>
          <w:b/>
          <w:sz w:val="23"/>
          <w:szCs w:val="23"/>
          <w:u w:val="single"/>
        </w:rPr>
      </w:pPr>
      <w:r w:rsidRPr="00AD701A">
        <w:rPr>
          <w:b/>
          <w:sz w:val="23"/>
          <w:szCs w:val="23"/>
          <w:u w:val="single"/>
        </w:rPr>
        <w:t>For eksisterende bygg er følgende hovedkriterier lagt til grunn:</w:t>
      </w:r>
    </w:p>
    <w:p w:rsidR="008C17CC" w:rsidRDefault="008C17CC" w:rsidP="00B30221">
      <w:pPr>
        <w:rPr>
          <w:sz w:val="23"/>
          <w:szCs w:val="23"/>
        </w:rPr>
      </w:pPr>
      <w:r>
        <w:rPr>
          <w:sz w:val="23"/>
          <w:szCs w:val="23"/>
        </w:rPr>
        <w:t xml:space="preserve">Bokført verdi pr bygg 31. des 2014 danner </w:t>
      </w:r>
      <w:r w:rsidR="00550874">
        <w:rPr>
          <w:sz w:val="23"/>
          <w:szCs w:val="23"/>
        </w:rPr>
        <w:t>beregningsgrunnlag for kapitaldelen. Beregningsgrunnlaget justeres en gang i året for påkostninger over investeringsbudsjettet. Justeringen tas i 1. perioderapport.</w:t>
      </w:r>
    </w:p>
    <w:p w:rsidR="00550874" w:rsidRDefault="008A4877" w:rsidP="00B30221">
      <w:pPr>
        <w:rPr>
          <w:sz w:val="23"/>
          <w:szCs w:val="23"/>
        </w:rPr>
      </w:pPr>
      <w:r>
        <w:rPr>
          <w:sz w:val="23"/>
          <w:szCs w:val="23"/>
        </w:rPr>
        <w:t>Det er ikke system for å finne eksakt bokført verdi f</w:t>
      </w:r>
      <w:r w:rsidR="00550874">
        <w:rPr>
          <w:sz w:val="23"/>
          <w:szCs w:val="23"/>
        </w:rPr>
        <w:t>or gjennomgangsboliger</w:t>
      </w:r>
      <w:r>
        <w:rPr>
          <w:sz w:val="23"/>
          <w:szCs w:val="23"/>
        </w:rPr>
        <w:t>. Her</w:t>
      </w:r>
      <w:r w:rsidR="00550874">
        <w:rPr>
          <w:sz w:val="23"/>
          <w:szCs w:val="23"/>
        </w:rPr>
        <w:t xml:space="preserve"> beregnes kapitaldelen av husleien </w:t>
      </w:r>
      <w:r>
        <w:rPr>
          <w:sz w:val="23"/>
          <w:szCs w:val="23"/>
        </w:rPr>
        <w:t>ut fra en gjennomsnittsverdi.</w:t>
      </w:r>
    </w:p>
    <w:p w:rsidR="008A4877" w:rsidRDefault="008A4877" w:rsidP="00B30221">
      <w:pPr>
        <w:rPr>
          <w:sz w:val="23"/>
          <w:szCs w:val="23"/>
        </w:rPr>
      </w:pPr>
      <w:r>
        <w:rPr>
          <w:sz w:val="23"/>
          <w:szCs w:val="23"/>
        </w:rPr>
        <w:t xml:space="preserve">Totalt vil husleien for eksiterende bygg </w:t>
      </w:r>
      <w:r w:rsidR="00AD701A">
        <w:rPr>
          <w:sz w:val="23"/>
          <w:szCs w:val="23"/>
        </w:rPr>
        <w:t>tilsvare</w:t>
      </w:r>
      <w:r>
        <w:rPr>
          <w:sz w:val="23"/>
          <w:szCs w:val="23"/>
        </w:rPr>
        <w:t xml:space="preserve"> basisbudsjettet for 2015</w:t>
      </w:r>
    </w:p>
    <w:p w:rsidR="009F6711" w:rsidRDefault="009F6711" w:rsidP="00B30221">
      <w:pPr>
        <w:rPr>
          <w:sz w:val="23"/>
          <w:szCs w:val="23"/>
        </w:rPr>
      </w:pPr>
    </w:p>
    <w:p w:rsidR="008C17CC" w:rsidRPr="00AD701A" w:rsidRDefault="008A4877" w:rsidP="00AD701A">
      <w:pPr>
        <w:pStyle w:val="Listeavsnitt"/>
        <w:numPr>
          <w:ilvl w:val="0"/>
          <w:numId w:val="5"/>
        </w:numPr>
        <w:rPr>
          <w:b/>
          <w:sz w:val="23"/>
          <w:szCs w:val="23"/>
          <w:u w:val="single"/>
        </w:rPr>
      </w:pPr>
      <w:r w:rsidRPr="00AD701A">
        <w:rPr>
          <w:b/>
          <w:sz w:val="23"/>
          <w:szCs w:val="23"/>
          <w:u w:val="single"/>
        </w:rPr>
        <w:t>For nye bygg er følgende hovedkriterier lagt til grunn:</w:t>
      </w:r>
    </w:p>
    <w:p w:rsidR="008F5E26" w:rsidRDefault="008F5E26" w:rsidP="00B30221">
      <w:pPr>
        <w:rPr>
          <w:sz w:val="23"/>
          <w:szCs w:val="23"/>
        </w:rPr>
      </w:pPr>
      <w:r>
        <w:rPr>
          <w:sz w:val="23"/>
          <w:szCs w:val="23"/>
        </w:rPr>
        <w:t>All ny tilført bygningsmasse beregnes etter denne modellen, inklusive tilbygg. Dette gjelder også i tilfeller der bygg blir totalrehabilitert/hovedombygging.</w:t>
      </w:r>
    </w:p>
    <w:p w:rsidR="0081317A" w:rsidRDefault="0081317A" w:rsidP="00B30221">
      <w:pPr>
        <w:rPr>
          <w:sz w:val="23"/>
          <w:szCs w:val="23"/>
        </w:rPr>
      </w:pPr>
      <w:r>
        <w:rPr>
          <w:sz w:val="23"/>
          <w:szCs w:val="23"/>
        </w:rPr>
        <w:t xml:space="preserve">Endelig grunnlag for kapitaldelen av husleien er investeringsbeløpet </w:t>
      </w:r>
      <w:r w:rsidR="00AD701A">
        <w:rPr>
          <w:sz w:val="23"/>
          <w:szCs w:val="23"/>
        </w:rPr>
        <w:t>fratrukket</w:t>
      </w:r>
      <w:r>
        <w:rPr>
          <w:sz w:val="23"/>
          <w:szCs w:val="23"/>
        </w:rPr>
        <w:t>. mva (hvis tiltaket gir momskompensasjon) og tilskuddsordninger (husbank, spillemidler, Enova mv). Grunnet tidsmessig etterslep på utbetalinger av tilskudd, vil grunnlag for husleien fr</w:t>
      </w:r>
      <w:r w:rsidR="00CE319C">
        <w:rPr>
          <w:sz w:val="23"/>
          <w:szCs w:val="23"/>
        </w:rPr>
        <w:t>em til utbetaling av tilskudd væ</w:t>
      </w:r>
      <w:r>
        <w:rPr>
          <w:sz w:val="23"/>
          <w:szCs w:val="23"/>
        </w:rPr>
        <w:t>re inklusive tilskuddsbeløpet. Justering foretas når tilskudd utbetales.</w:t>
      </w:r>
    </w:p>
    <w:p w:rsidR="008F5E26" w:rsidRPr="0081317A" w:rsidRDefault="008F5E26" w:rsidP="00B30221">
      <w:pPr>
        <w:rPr>
          <w:sz w:val="23"/>
          <w:szCs w:val="23"/>
        </w:rPr>
      </w:pPr>
      <w:r>
        <w:rPr>
          <w:sz w:val="23"/>
          <w:szCs w:val="23"/>
        </w:rPr>
        <w:t>Byggelånsrenter/lån i byggeperioden belastes ikke byggeprosjektet. Dette er i samsvar med dagens rutiner.</w:t>
      </w:r>
      <w:r w:rsidR="00AD701A">
        <w:rPr>
          <w:sz w:val="23"/>
          <w:szCs w:val="23"/>
        </w:rPr>
        <w:t xml:space="preserve"> Alternativet er å legge finanskostnader i byggeperioden i byggeregnskapet og at dette legges til grunn for husleien.</w:t>
      </w: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lastRenderedPageBreak/>
        <w:t>Forslag til vedtak</w:t>
      </w:r>
      <w:r w:rsidRPr="00156569">
        <w:rPr>
          <w:b/>
          <w:sz w:val="28"/>
          <w:szCs w:val="28"/>
        </w:rPr>
        <w:t>:</w:t>
      </w:r>
    </w:p>
    <w:p w:rsidR="006908BF" w:rsidRPr="000B7722" w:rsidRDefault="00AD701A" w:rsidP="009F671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6711">
        <w:rPr>
          <w:sz w:val="23"/>
          <w:szCs w:val="23"/>
        </w:rPr>
        <w:t>Saken tas til orientering.</w:t>
      </w:r>
    </w:p>
    <w:p w:rsidR="000B7722" w:rsidRPr="0010410E" w:rsidRDefault="000B7722" w:rsidP="009F6711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410E">
        <w:rPr>
          <w:sz w:val="23"/>
          <w:szCs w:val="23"/>
        </w:rPr>
        <w:t>Saken oversendes rådmannen til orientering</w:t>
      </w: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AD701A">
        <w:rPr>
          <w:rFonts w:ascii="Times New Roman" w:hAnsi="Times New Roman" w:cs="Times New Roman"/>
          <w:sz w:val="24"/>
          <w:szCs w:val="24"/>
        </w:rPr>
        <w:t>1</w:t>
      </w:r>
      <w:r w:rsidR="009F6711">
        <w:rPr>
          <w:rFonts w:ascii="Times New Roman" w:hAnsi="Times New Roman" w:cs="Times New Roman"/>
          <w:sz w:val="24"/>
          <w:szCs w:val="24"/>
        </w:rPr>
        <w:t>3</w:t>
      </w:r>
      <w:r w:rsidR="00AD701A">
        <w:rPr>
          <w:rFonts w:ascii="Times New Roman" w:hAnsi="Times New Roman" w:cs="Times New Roman"/>
          <w:sz w:val="24"/>
          <w:szCs w:val="24"/>
        </w:rPr>
        <w:t>.08</w:t>
      </w:r>
      <w:r w:rsidR="006F68CE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B2" w:rsidRDefault="00DE0EB2" w:rsidP="00B30221">
      <w:pPr>
        <w:spacing w:after="0" w:line="240" w:lineRule="auto"/>
      </w:pPr>
      <w:r>
        <w:separator/>
      </w:r>
    </w:p>
  </w:endnote>
  <w:endnote w:type="continuationSeparator" w:id="0">
    <w:p w:rsidR="00DE0EB2" w:rsidRDefault="00DE0EB2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B2" w:rsidRDefault="00DE0EB2" w:rsidP="00B30221">
      <w:pPr>
        <w:spacing w:after="0" w:line="240" w:lineRule="auto"/>
      </w:pPr>
      <w:r>
        <w:separator/>
      </w:r>
    </w:p>
  </w:footnote>
  <w:footnote w:type="continuationSeparator" w:id="0">
    <w:p w:rsidR="00DE0EB2" w:rsidRDefault="00DE0EB2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2445"/>
    <w:multiLevelType w:val="hybridMultilevel"/>
    <w:tmpl w:val="278EC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8AF"/>
    <w:multiLevelType w:val="hybridMultilevel"/>
    <w:tmpl w:val="23F61714"/>
    <w:lvl w:ilvl="0" w:tplc="E15E97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4AFD"/>
    <w:multiLevelType w:val="hybridMultilevel"/>
    <w:tmpl w:val="B86A681C"/>
    <w:lvl w:ilvl="0" w:tplc="339C3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712"/>
    <w:rsid w:val="000B30FA"/>
    <w:rsid w:val="000B642B"/>
    <w:rsid w:val="000B7722"/>
    <w:rsid w:val="0010410E"/>
    <w:rsid w:val="001269B0"/>
    <w:rsid w:val="00135883"/>
    <w:rsid w:val="001456F2"/>
    <w:rsid w:val="00156569"/>
    <w:rsid w:val="001870CE"/>
    <w:rsid w:val="00190A2F"/>
    <w:rsid w:val="00190C64"/>
    <w:rsid w:val="00196F0B"/>
    <w:rsid w:val="001E2546"/>
    <w:rsid w:val="00206A8B"/>
    <w:rsid w:val="00263933"/>
    <w:rsid w:val="00265A6A"/>
    <w:rsid w:val="003562A1"/>
    <w:rsid w:val="003B2054"/>
    <w:rsid w:val="003E1121"/>
    <w:rsid w:val="00425C04"/>
    <w:rsid w:val="00487D79"/>
    <w:rsid w:val="004C093A"/>
    <w:rsid w:val="004E0F9A"/>
    <w:rsid w:val="005139AE"/>
    <w:rsid w:val="00550874"/>
    <w:rsid w:val="005A4DBB"/>
    <w:rsid w:val="00627625"/>
    <w:rsid w:val="006629EC"/>
    <w:rsid w:val="0067672B"/>
    <w:rsid w:val="0068300B"/>
    <w:rsid w:val="006842E6"/>
    <w:rsid w:val="006908BF"/>
    <w:rsid w:val="006F078A"/>
    <w:rsid w:val="006F671A"/>
    <w:rsid w:val="006F68CE"/>
    <w:rsid w:val="00720FD8"/>
    <w:rsid w:val="00725029"/>
    <w:rsid w:val="00727BEA"/>
    <w:rsid w:val="00740CC7"/>
    <w:rsid w:val="00781B98"/>
    <w:rsid w:val="00793252"/>
    <w:rsid w:val="007B459C"/>
    <w:rsid w:val="007C7289"/>
    <w:rsid w:val="007E2845"/>
    <w:rsid w:val="0081317A"/>
    <w:rsid w:val="00847DA3"/>
    <w:rsid w:val="008668CB"/>
    <w:rsid w:val="008A4877"/>
    <w:rsid w:val="008B5EA5"/>
    <w:rsid w:val="008C17CC"/>
    <w:rsid w:val="008C1A3D"/>
    <w:rsid w:val="008F5E26"/>
    <w:rsid w:val="009043C9"/>
    <w:rsid w:val="0091686D"/>
    <w:rsid w:val="00924E79"/>
    <w:rsid w:val="009435FB"/>
    <w:rsid w:val="00943A83"/>
    <w:rsid w:val="009679B0"/>
    <w:rsid w:val="009873D1"/>
    <w:rsid w:val="009C5624"/>
    <w:rsid w:val="009F6711"/>
    <w:rsid w:val="00AA60A7"/>
    <w:rsid w:val="00AA7F48"/>
    <w:rsid w:val="00AD3D7A"/>
    <w:rsid w:val="00AD701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C5B49"/>
    <w:rsid w:val="00CE319C"/>
    <w:rsid w:val="00CF4C50"/>
    <w:rsid w:val="00DA5991"/>
    <w:rsid w:val="00DB7A3F"/>
    <w:rsid w:val="00DE0EB2"/>
    <w:rsid w:val="00DE58E6"/>
    <w:rsid w:val="00E336D5"/>
    <w:rsid w:val="00E35F1D"/>
    <w:rsid w:val="00E51D94"/>
    <w:rsid w:val="00E62959"/>
    <w:rsid w:val="00F228E5"/>
    <w:rsid w:val="00F52164"/>
    <w:rsid w:val="00F65156"/>
    <w:rsid w:val="00F827DD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178B-8EFF-47FC-B0FE-11FAF2DC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66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742A-FB69-49DF-9802-E40DC78E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2015-08-21T10:31:00Z</dcterms:created>
  <dcterms:modified xsi:type="dcterms:W3CDTF">2015-08-21T10:31:00Z</dcterms:modified>
</cp:coreProperties>
</file>